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F3" w:rsidRDefault="004761F3" w:rsidP="004761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  <w:lang w:val="be-BY"/>
        </w:rPr>
        <w:t xml:space="preserve">Совет  </w:t>
      </w:r>
      <w:r>
        <w:rPr>
          <w:rFonts w:ascii="Times New Roman" w:hAnsi="Times New Roman"/>
          <w:b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6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Вострецовский сельсовет муниципального</w:t>
      </w:r>
    </w:p>
    <w:p w:rsidR="004761F3" w:rsidRDefault="004761F3" w:rsidP="004761F3">
      <w:pPr>
        <w:pStyle w:val="ConsPlusNonformat"/>
        <w:widowControl/>
        <w:jc w:val="both"/>
        <w:rPr>
          <w:rFonts w:ascii="Times New Roman" w:hAnsi="Times New Roman"/>
          <w:b/>
          <w:bCs/>
          <w:sz w:val="28"/>
          <w:lang w:val="be-BY"/>
        </w:rPr>
      </w:pPr>
      <w:r>
        <w:rPr>
          <w:rFonts w:ascii="Times New Roman" w:hAnsi="Times New Roman"/>
          <w:b/>
          <w:bCs/>
          <w:sz w:val="28"/>
        </w:rPr>
        <w:t xml:space="preserve">района Бураевский район Республики Башкортостан                                           </w:t>
      </w:r>
    </w:p>
    <w:p w:rsidR="004761F3" w:rsidRDefault="004761F3" w:rsidP="004761F3">
      <w:pPr>
        <w:jc w:val="center"/>
        <w:rPr>
          <w:lang w:val="be-BY"/>
        </w:rPr>
      </w:pPr>
    </w:p>
    <w:p w:rsidR="004761F3" w:rsidRDefault="004761F3" w:rsidP="004761F3">
      <w:pPr>
        <w:jc w:val="center"/>
        <w:rPr>
          <w:lang w:val="be-BY"/>
        </w:rPr>
      </w:pPr>
    </w:p>
    <w:p w:rsidR="004761F3" w:rsidRDefault="004761F3" w:rsidP="004761F3">
      <w:pPr>
        <w:jc w:val="center"/>
        <w:rPr>
          <w:lang w:val="be-BY"/>
        </w:rPr>
      </w:pPr>
    </w:p>
    <w:p w:rsidR="004761F3" w:rsidRDefault="004761F3" w:rsidP="0047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–е  заседание                               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– созыва</w:t>
      </w:r>
    </w:p>
    <w:p w:rsidR="004761F3" w:rsidRDefault="004761F3" w:rsidP="004761F3">
      <w:pPr>
        <w:jc w:val="center"/>
        <w:rPr>
          <w:b/>
          <w:szCs w:val="28"/>
        </w:rPr>
      </w:pPr>
    </w:p>
    <w:p w:rsidR="004761F3" w:rsidRDefault="004761F3" w:rsidP="004761F3">
      <w:pPr>
        <w:jc w:val="center"/>
        <w:rPr>
          <w:b/>
          <w:bCs/>
          <w:sz w:val="28"/>
          <w:szCs w:val="28"/>
        </w:rPr>
      </w:pPr>
    </w:p>
    <w:p w:rsidR="004761F3" w:rsidRDefault="004761F3" w:rsidP="004761F3">
      <w:pPr>
        <w:pStyle w:val="1"/>
      </w:pPr>
      <w:r>
        <w:t xml:space="preserve">                                                        Р Е Ш Е Н И Е</w:t>
      </w:r>
    </w:p>
    <w:p w:rsidR="004761F3" w:rsidRDefault="004761F3" w:rsidP="004761F3">
      <w:pPr>
        <w:rPr>
          <w:b/>
          <w:sz w:val="28"/>
          <w:szCs w:val="28"/>
        </w:rPr>
      </w:pP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2"/>
          <w:szCs w:val="22"/>
        </w:rPr>
        <w:t>ПОРЯДКЕ ВНЕСЕНИЯ ПРОЕКТОВ МУНИЦИПАЛЬНЫХ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ПРАВОВЫХ АКТОВ В СОВЕТ СЕЛЬСКОГО ПОСЕЛЕНИЯ 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ВОСТРЕЦОВСКИЙ СЕЛЬСОВЕТ  МУНИЦИПАЛЬНОГО РАЙОНА 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БУРАЕВСКИЙ РАЙОН  РЕСПУБЛИКИ БАШКОРТОСТАН</w:t>
      </w:r>
    </w:p>
    <w:p w:rsidR="004761F3" w:rsidRDefault="004761F3" w:rsidP="004761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4761F3" w:rsidRDefault="004761F3" w:rsidP="004761F3">
      <w:pPr>
        <w:rPr>
          <w:rStyle w:val="a3"/>
          <w:bCs w:val="0"/>
          <w:sz w:val="28"/>
          <w:szCs w:val="28"/>
        </w:rPr>
      </w:pPr>
    </w:p>
    <w:p w:rsidR="004761F3" w:rsidRDefault="004761F3" w:rsidP="004761F3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46 Федерального закона от 6 октября 2003 года № 131-ФЗ «Об общих принципах организации местного самоуправления в Российской Федерации», статьей  28 Устава</w:t>
      </w:r>
      <w:r>
        <w:rPr>
          <w:rStyle w:val="a3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муниципального района Бураевский район</w:t>
      </w:r>
      <w:r>
        <w:rPr>
          <w:sz w:val="28"/>
          <w:szCs w:val="28"/>
        </w:rPr>
        <w:t xml:space="preserve">  Совет </w:t>
      </w:r>
      <w:r>
        <w:rPr>
          <w:rStyle w:val="a3"/>
          <w:b w:val="0"/>
          <w:bCs w:val="0"/>
          <w:sz w:val="28"/>
          <w:szCs w:val="28"/>
        </w:rPr>
        <w:t xml:space="preserve">муниципального района Бураевский район    </w:t>
      </w:r>
      <w:r>
        <w:rPr>
          <w:rStyle w:val="a3"/>
          <w:bCs w:val="0"/>
          <w:sz w:val="28"/>
          <w:szCs w:val="28"/>
        </w:rPr>
        <w:t>РЕШИЛ: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>1. Утвердить  порядок  внесения проектов   муниципальных правовых актов</w:t>
      </w:r>
      <w:r>
        <w:t xml:space="preserve">  </w:t>
      </w:r>
      <w:r>
        <w:rPr>
          <w:rFonts w:ascii="Times New Roman" w:hAnsi="Times New Roman" w:cs="Times New Roman"/>
          <w:sz w:val="28"/>
        </w:rPr>
        <w:t>сельского поселения Вострецовский сельсовет</w:t>
      </w:r>
      <w: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Бураевский район Республики Башкортостан (прилагается).</w:t>
      </w:r>
    </w:p>
    <w:p w:rsidR="004761F3" w:rsidRDefault="004761F3" w:rsidP="004761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на стенде администрации сельского поселения Вострецовский сельсовет.</w:t>
      </w:r>
    </w:p>
    <w:p w:rsidR="004761F3" w:rsidRDefault="004761F3" w:rsidP="004761F3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4761F3" w:rsidRDefault="004761F3" w:rsidP="004761F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761F3" w:rsidRDefault="004761F3" w:rsidP="004761F3">
      <w:pPr>
        <w:ind w:firstLine="720"/>
        <w:jc w:val="both"/>
        <w:rPr>
          <w:sz w:val="28"/>
          <w:szCs w:val="28"/>
        </w:rPr>
      </w:pPr>
    </w:p>
    <w:p w:rsidR="004761F3" w:rsidRDefault="004761F3" w:rsidP="004761F3">
      <w:pPr>
        <w:ind w:firstLine="720"/>
        <w:jc w:val="both"/>
        <w:rPr>
          <w:sz w:val="28"/>
          <w:szCs w:val="28"/>
        </w:rPr>
      </w:pPr>
    </w:p>
    <w:p w:rsidR="004761F3" w:rsidRDefault="004761F3" w:rsidP="004761F3">
      <w:pPr>
        <w:ind w:firstLine="720"/>
        <w:jc w:val="both"/>
        <w:rPr>
          <w:sz w:val="28"/>
          <w:szCs w:val="28"/>
        </w:rPr>
      </w:pP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61F3" w:rsidRDefault="004761F3" w:rsidP="004761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2"/>
          <w:lang w:val="be-BY"/>
        </w:rPr>
        <w:t xml:space="preserve">Вострецовский сельсовет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</w:p>
    <w:p w:rsidR="004761F3" w:rsidRDefault="004761F3" w:rsidP="004761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Бураевский район </w:t>
      </w:r>
    </w:p>
    <w:p w:rsidR="004761F3" w:rsidRDefault="004761F3" w:rsidP="004761F3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К.В.Гатауллин</w:t>
      </w:r>
    </w:p>
    <w:p w:rsidR="004761F3" w:rsidRDefault="004761F3" w:rsidP="004761F3">
      <w:pPr>
        <w:pStyle w:val="ConsPlusNonformat"/>
        <w:widowControl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761F3" w:rsidRDefault="004761F3" w:rsidP="004761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Вострецово</w:t>
      </w:r>
    </w:p>
    <w:p w:rsidR="004761F3" w:rsidRDefault="004761F3" w:rsidP="004761F3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be-BY"/>
        </w:rPr>
        <w:t>10</w:t>
      </w:r>
      <w:r>
        <w:rPr>
          <w:rFonts w:ascii="Times New Roman" w:hAnsi="Times New Roman"/>
          <w:sz w:val="28"/>
          <w:szCs w:val="28"/>
        </w:rPr>
        <w:t xml:space="preserve"> » июня 2008г. </w:t>
      </w:r>
    </w:p>
    <w:p w:rsidR="004761F3" w:rsidRDefault="004761F3" w:rsidP="004761F3">
      <w:pPr>
        <w:pStyle w:val="ConsPlusNonformat"/>
        <w:widowControl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№ 55</w:t>
      </w: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</w:t>
      </w: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</w:p>
    <w:p w:rsidR="004761F3" w:rsidRDefault="004761F3" w:rsidP="004761F3">
      <w:pPr>
        <w:rPr>
          <w:b/>
          <w:bCs/>
          <w:sz w:val="28"/>
          <w:szCs w:val="28"/>
          <w:lang w:val="be-BY"/>
        </w:rPr>
      </w:pPr>
    </w:p>
    <w:p w:rsidR="004761F3" w:rsidRDefault="004761F3" w:rsidP="004761F3">
      <w:r>
        <w:rPr>
          <w:b/>
          <w:bCs/>
          <w:sz w:val="28"/>
          <w:szCs w:val="28"/>
          <w:lang w:val="be-BY"/>
        </w:rPr>
        <w:t xml:space="preserve">                                                                                              </w:t>
      </w:r>
      <w:r>
        <w:t>Утвержден</w:t>
      </w:r>
    </w:p>
    <w:p w:rsidR="004761F3" w:rsidRDefault="004761F3" w:rsidP="004761F3">
      <w:pPr>
        <w:ind w:left="5040"/>
      </w:pPr>
      <w:r>
        <w:lastRenderedPageBreak/>
        <w:t xml:space="preserve"> решением  Совета сельского поселения Вострецовский сельсовет муниципального района </w:t>
      </w:r>
    </w:p>
    <w:p w:rsidR="004761F3" w:rsidRDefault="004761F3" w:rsidP="004761F3">
      <w:pPr>
        <w:ind w:left="5040"/>
      </w:pPr>
      <w:r>
        <w:t>Бураевский  район  Республики Башкортостан</w:t>
      </w:r>
    </w:p>
    <w:p w:rsidR="004761F3" w:rsidRDefault="004761F3" w:rsidP="004761F3">
      <w:pPr>
        <w:ind w:left="5040" w:firstLine="720"/>
        <w:rPr>
          <w:lang w:val="be-BY"/>
        </w:rPr>
      </w:pPr>
      <w:r>
        <w:t xml:space="preserve">от </w:t>
      </w:r>
      <w:r>
        <w:rPr>
          <w:lang w:val="be-BY"/>
        </w:rPr>
        <w:t>10</w:t>
      </w:r>
      <w:r>
        <w:t xml:space="preserve"> . 06. 2008  № 55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4761F3" w:rsidRDefault="004761F3" w:rsidP="004761F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ВНЕСЕНИЯ ПРОЕКТОВ МУНИЦИПАЛЬНЫХ ПРАВОВЫХ АКТОВ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СОВЕТ</w:t>
      </w:r>
      <w:r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 ВОСТРЕЦОВСКИЙ СЕЛЬСОВЕТ  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 РАЙОНА БУРАЕВСКИЙ РАЙОН </w:t>
      </w:r>
    </w:p>
    <w:p w:rsidR="004761F3" w:rsidRDefault="004761F3" w:rsidP="004761F3">
      <w:pPr>
        <w:pStyle w:val="ConsNonformat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РЕСПУБЛИКИ БАШКОРТОСТАН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1.Система муниципальных правовых актов установлена ч. 6 ст. 43 Федерального закона от 06.10.03 №131 –ФЗ «Об общих принципах организации местного самоуправ-ления в Российской Федерации", особенности принятия правовых актов - ст. 35 Феде-рального закона № 131 –ФЗ и Уставом</w:t>
      </w:r>
      <w:r>
        <w:t xml:space="preserve"> сельского поселения Вострецовский сельсовет муниципального района</w:t>
      </w:r>
      <w:r>
        <w:rPr>
          <w:color w:val="000000"/>
          <w:sz w:val="26"/>
          <w:szCs w:val="26"/>
        </w:rPr>
        <w:t xml:space="preserve"> Бураевский район.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систему муниципальных правовых актов входят: 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устав муниципального района;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правовые акты, принятые на местном референдуме</w:t>
      </w:r>
      <w:r>
        <w:rPr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нормативные и иные правовые акты Совета;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правовые акты главы председателя  Совета, постановления и распоряжения гла</w:t>
      </w:r>
      <w:r>
        <w:rPr>
          <w:color w:val="000000"/>
          <w:sz w:val="26"/>
          <w:szCs w:val="26"/>
        </w:rPr>
        <w:softHyphen/>
        <w:t xml:space="preserve">вы Администрации, иных органов местного самоуправления и должностных лиц местного самоуправления, предусмотренных Уставом. 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Устав муниципального района   и оформленные в виде правовых актов решения, при</w:t>
      </w:r>
      <w:r>
        <w:rPr>
          <w:color w:val="000000"/>
          <w:sz w:val="26"/>
          <w:szCs w:val="26"/>
        </w:rPr>
        <w:softHyphen/>
        <w:t>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района.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Иные муниципальные правовые акты не должны противоречить Уставу и правовым актам, принятым на местном референдуме.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Совет по вопросам, отнесенным к его компетенции федеральными законами, зако-нами  Республики Башкортостан, Уставом,  </w:t>
      </w:r>
      <w:r>
        <w:t>сельского поселения Вострецовский сельсовет муниципального района</w:t>
      </w:r>
      <w:r>
        <w:rPr>
          <w:color w:val="000000"/>
          <w:sz w:val="26"/>
          <w:szCs w:val="26"/>
        </w:rPr>
        <w:t xml:space="preserve"> принимает решения, устанавливающие правила, обязательные для исполнения на территории муниципального района, а также решения по вопросам организации дея</w:t>
      </w:r>
      <w:r>
        <w:rPr>
          <w:color w:val="000000"/>
          <w:sz w:val="26"/>
          <w:szCs w:val="26"/>
        </w:rPr>
        <w:softHyphen/>
        <w:t>тельности Совета.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Председатель Совета в пределах своих полномочий, установленных  Устав</w:t>
      </w:r>
      <w:r>
        <w:t xml:space="preserve"> сельского поселения Вострецовский сельсовет муниципального района</w:t>
      </w:r>
      <w:r>
        <w:rPr>
          <w:color w:val="000000"/>
          <w:sz w:val="26"/>
          <w:szCs w:val="26"/>
        </w:rPr>
        <w:t xml:space="preserve"> и  решениями Совета, издает постановления и распоряжения по вопросам организации деятельности Совета.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Глава Администрации в пределах своих полномочий, установленных федераль</w:t>
      </w:r>
      <w:r>
        <w:rPr>
          <w:color w:val="000000"/>
          <w:sz w:val="26"/>
          <w:szCs w:val="26"/>
        </w:rPr>
        <w:softHyphen/>
        <w:t>ными законами, законами Республики Башкортостан, Уставом</w:t>
      </w:r>
      <w:r>
        <w:t xml:space="preserve"> сельского поселения Вострецовский сельсовет муниципального района</w:t>
      </w:r>
      <w:r>
        <w:rPr>
          <w:color w:val="000000"/>
          <w:sz w:val="26"/>
          <w:szCs w:val="26"/>
        </w:rPr>
        <w:t xml:space="preserve"> нормативны</w:t>
      </w:r>
      <w:r>
        <w:rPr>
          <w:color w:val="000000"/>
          <w:sz w:val="26"/>
          <w:szCs w:val="26"/>
        </w:rPr>
        <w:softHyphen/>
        <w:t>ми правовыми актами Совета, издает поста</w:t>
      </w:r>
      <w:r>
        <w:rPr>
          <w:color w:val="000000"/>
          <w:sz w:val="26"/>
          <w:szCs w:val="26"/>
        </w:rPr>
        <w:softHyphen/>
        <w:t xml:space="preserve">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Башкортостан, </w:t>
      </w:r>
      <w:r>
        <w:rPr>
          <w:iCs/>
          <w:color w:val="000000"/>
          <w:sz w:val="26"/>
          <w:szCs w:val="26"/>
        </w:rPr>
        <w:t xml:space="preserve">а </w:t>
      </w:r>
      <w:r>
        <w:rPr>
          <w:color w:val="000000"/>
          <w:sz w:val="26"/>
          <w:szCs w:val="26"/>
        </w:rPr>
        <w:t>также распоряжения по вопросам организации работы Администрации.</w:t>
      </w:r>
    </w:p>
    <w:p w:rsidR="004761F3" w:rsidRDefault="004761F3" w:rsidP="004761F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761F3" w:rsidRDefault="004761F3" w:rsidP="004761F3">
      <w:pPr>
        <w:pStyle w:val="a4"/>
        <w:ind w:left="0" w:right="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 Проекты муниципальных правовых актов, принимаемые Советом </w:t>
      </w:r>
      <w:r>
        <w:t>сельского поселения Вострецовский сельсовет муниципального района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,  </w:t>
      </w:r>
      <w:r>
        <w:rPr>
          <w:sz w:val="26"/>
          <w:szCs w:val="26"/>
        </w:rPr>
        <w:t>могут быть внесены депутатами Совета,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комиссиями  Совета, председателем Совета, главой Администрации,  органами территориального общественного самоуправления, инициативными группами  граждан,  а так же органами государственной власти  Республики Башкортостан.</w:t>
      </w:r>
    </w:p>
    <w:p w:rsidR="004761F3" w:rsidRDefault="004761F3" w:rsidP="004761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 При внесении проекта муниципального правового акта в Совет </w:t>
      </w:r>
      <w:r>
        <w:rPr>
          <w:rFonts w:ascii="Times New Roman" w:hAnsi="Times New Roman"/>
          <w:sz w:val="24"/>
        </w:rPr>
        <w:t xml:space="preserve">сельского поселения Вострецовский сельсовет муниципального района </w:t>
      </w:r>
      <w:r>
        <w:rPr>
          <w:rFonts w:ascii="Times New Roman" w:hAnsi="Times New Roman"/>
          <w:sz w:val="26"/>
          <w:szCs w:val="26"/>
        </w:rPr>
        <w:t xml:space="preserve"> Бураевский  район субъектом права правотворческой инициативы должны быть представлены: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текст проекта муниципального правового акта с указанием на титульном листе субъекта права правотворческой инициативы, внесшего проект муниципального правового акта;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пояснительная записка к проекту муниципального правового акта, содержащая изложение концепции проекта муниципального правового акта,  а именно, изложение общественных проблем (предмета правового регулирования), которые призван решить проект муниципального правового акта; изложение основных направлений и способов правового регулирования обозначенных проблем (механизма реализации нормативных предписаний); определение места проектируемого муниципального правового акта  в системе нормативной правовой базы муниципального образования; определение социальных, экономических и правовых последствий принятия проекта муниципального правового акта, иную информацию о проекте муниципального правового акта;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перечень муниципальных правовых актов, подлежащих признанию утратившими силу, приостановлению, изменению, дополнению или принятию   в связи с принятием данного проекта правового акта;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финансово-экономическое обоснование (в случае внесения проекта муниципаль-ного правового акта, реализация которого требует материальных затрат);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заключение главы  Администрации на проект муниципального правового акта в случаях, предусмотренных пунктом 4 настоящего Порядка.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Муниципальные правовые акты Совета  </w:t>
      </w:r>
      <w:r>
        <w:rPr>
          <w:rFonts w:ascii="Times New Roman" w:hAnsi="Times New Roman"/>
          <w:sz w:val="24"/>
        </w:rPr>
        <w:t>сельского поселения Вострецовский сельсовет муниципального района,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 муниципального района,</w:t>
      </w:r>
      <w:r>
        <w:rPr>
          <w:rFonts w:ascii="Times New Roman" w:hAnsi="Times New Roman"/>
          <w:i/>
          <w:i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только по инициативе главы Администрации муниципального района или при наличии заключения главы Администрации.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 Заключение главы Администрации на проект муниципального правового акта представляется в Совет   </w:t>
      </w:r>
      <w:r>
        <w:rPr>
          <w:rFonts w:ascii="Times New Roman" w:hAnsi="Times New Roman"/>
          <w:sz w:val="24"/>
        </w:rPr>
        <w:t>сельского поселения Вострецовский сельсовет муниципального района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позднее 15 дней  со дня поступления проекта муниципального правового акта главе Администрации. Данное заключение носит финансово-экономический характер и содержит сведения: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об оценке положений проекта муниципального правового акта с учетом финансово-экономического обоснования, представленного субъектом права правотворческой  инициативы;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б) о возможности финансирования предполагаемых расходов, связанных  с предполагаемой реализацией проекта муниципального правового акта;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предложения в отношении принятия, отклонения, частичного принятия основных положений, отсрочки принятия, даты вступления в силу проекта муниципального правового акта с позиций возможности его финансирования;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color w:val="000000"/>
          <w:sz w:val="26"/>
          <w:szCs w:val="26"/>
        </w:rPr>
        <w:t>г)перечень правовых актов, изменения и (или) дополнения в которые потребует принятие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данного проекта; 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другие оценки, замечания и предложения к проекту муниципального правового акта;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6"/>
          <w:szCs w:val="26"/>
        </w:rPr>
      </w:pPr>
      <w:r>
        <w:rPr>
          <w:sz w:val="26"/>
          <w:szCs w:val="26"/>
        </w:rPr>
        <w:t>е)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6"/>
          <w:szCs w:val="26"/>
        </w:rPr>
        <w:t>данные, содержащие указание на авторов проекта.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Проекты правовых актов, представленные в Совет, подлежат обязательной регистрации в организационном отделе  Совета. 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Текст и оформление проекта муниципального правового акта должны отвечать правилам юридической  техники. К требованиям юридической техники относятся: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требования к структуре и статьям проекта муниципального правового акта;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требования к технике изложения правовых норм;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лингвистические требования;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требования к реквизитам и оформлению проекта муниципального правового акта.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Структура проекта муниципального правового акта должна обеспечивать логическое развитие целей проекта муниципального правового акта и раскрытие предмета правового регулирования.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зависимости от предмета правового регулирования, объема и формы проекта муниципального правового акта его структура может иметь следующую последовательность: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преамбулу – общее введение, в котором излагается предмет правового регулирования муниципального правового акта и формулируются его исходные положения, при этом положения нормативного характера в преамбулу    не включаются;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общие положения (основные принципы правового регулирования, определение используемых понятий, если они не определены законодательством, и др.);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изложение конкретных правовых нормативов по регулируемому вопросу;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механизм реализации нормативных предписаний (порядок реализации субъективных прав и обязанностей, льготы, санкции и иные механизмы);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 переходные и заключительные положения (срок вступления в силу муниципального правового акта и отдельных его частей (разделов, глав, статей), предписания о внесении изменений и дополнений в действующие муниципальные правовые акты, о признании утратившими силу нормативных правовых актов, иные нормативные предписания).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Значительные по объему проекты муниципальных правовых актов могут разделяться на разделы, главы, имеющие нумерацию и наименование. Разделы нумеруются римскими цифрами, главы арабскими цифрами.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Нормативные предписания проекта муниципального правового акта оформляются в виде статей либо пунктов с единой (сквозной) нумерацией арабскими цифрами. 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Статьи, как правило, имеют наименование. Статьи могут подразделяться на пункты, имеющие нумерацию арабскими цифрами без наименования.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Пункты могут подразделяться на абзацы (без нумерации)  и (или) подпункты, имеющие нумерацию арабскими цифрами со скобкой   или обозначаемые буквами русского алфавита со скобкой.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Требования к технике изложения правовых норм включает: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 точность и определенность формулировок, выражений и отдельных терминов (понятий), используемых в муниципальном правовом акте, исключающих двусмысленное толкование излагаемой нормы;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 применение общепринятых или определенных законодательством,  а также муниципальными правовыми актами терминов (понятий);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 конкретность регулирования, исключающая декларативность;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 соблюдение взаимосвязи всех частей правовой нормы внутри статьи   и статей внутри проекта муниципального правового акта.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 Лингвистические требования основываются на правилах русского языка.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 Реквизиты и форма проектов муниципальных правовых актов, форма прилагаемых к проектам муниципальных правовых актов документов устанавливаются Регламентом  Совета,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с учетом </w:t>
      </w:r>
      <w:r>
        <w:rPr>
          <w:rFonts w:ascii="Times New Roman" w:hAnsi="Times New Roman"/>
          <w:sz w:val="26"/>
          <w:szCs w:val="26"/>
        </w:rPr>
        <w:t xml:space="preserve">унифицированных требований, принятых для федеральных и республиканских  нормативных правовых актов. </w:t>
      </w:r>
    </w:p>
    <w:p w:rsidR="004761F3" w:rsidRDefault="004761F3" w:rsidP="004761F3">
      <w:pPr>
        <w:pStyle w:val="ConsNormal"/>
        <w:widowControl/>
        <w:ind w:firstLine="540"/>
        <w:rPr>
          <w:sz w:val="26"/>
          <w:szCs w:val="26"/>
        </w:rPr>
      </w:pP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 Подготовленный к внесению в Совет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 муниципального правового акта                     и прилагаемые к нему документы, предусмотренные настоящим Порядком,  в двух экземплярах направляются субъектом права правотворческой инициативы председателю Совета </w:t>
      </w:r>
      <w:r>
        <w:rPr>
          <w:rFonts w:ascii="Times New Roman" w:hAnsi="Times New Roman"/>
          <w:i/>
          <w:i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муниципального правового акта, отвечающий требованиям настоящего Порядка, регистрируется и рассматривается Советом  в порядке, установленном Регламентом Совета</w:t>
      </w:r>
      <w:r>
        <w:rPr>
          <w:rFonts w:ascii="Times New Roman" w:hAnsi="Times New Roman"/>
          <w:i/>
          <w:iCs/>
          <w:sz w:val="26"/>
          <w:szCs w:val="26"/>
        </w:rPr>
        <w:t>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муниципального правового акта считается внесенным  в Совет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дня его регистрации.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муниципального правового акта, не отвечающий требованиям настоящего Порядка, не регистрируется Советом  и возвращается субъекту правотворческой  инициативы с мотивированным отказом в его рассмотрении.</w:t>
      </w:r>
    </w:p>
    <w:p w:rsidR="004761F3" w:rsidRDefault="004761F3" w:rsidP="004761F3">
      <w:pPr>
        <w:pStyle w:val="ConsNormal"/>
        <w:widowControl/>
        <w:ind w:firstLine="540"/>
        <w:rPr>
          <w:rFonts w:ascii="Times New Roman" w:hAnsi="Times New Roman"/>
          <w:sz w:val="26"/>
          <w:szCs w:val="26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13.  Особенности вступления в силу муниципальных правовых актов заключаются в следующем: 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решения Совета, затрагивающие права, свободы и обязанности человека и гражданина, вступают в силу после их официального опубликования (обнародования);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-  правовые акты Совета о внесении измене</w:t>
      </w:r>
      <w:r>
        <w:rPr>
          <w:color w:val="000000"/>
          <w:sz w:val="26"/>
          <w:szCs w:val="26"/>
        </w:rPr>
        <w:softHyphen/>
        <w:t>ний и дополнений в законодательство Российской федерации о налогах и сборах в преде</w:t>
      </w:r>
      <w:r>
        <w:rPr>
          <w:color w:val="000000"/>
          <w:sz w:val="26"/>
          <w:szCs w:val="26"/>
        </w:rPr>
        <w:softHyphen/>
        <w:t xml:space="preserve">лах компетенции органов местного самоуправления, вступающие в силу с начала </w:t>
      </w:r>
      <w:r>
        <w:rPr>
          <w:color w:val="000000"/>
          <w:sz w:val="26"/>
          <w:szCs w:val="26"/>
        </w:rPr>
        <w:lastRenderedPageBreak/>
        <w:t>очеред</w:t>
      </w:r>
      <w:r>
        <w:rPr>
          <w:color w:val="000000"/>
          <w:sz w:val="26"/>
          <w:szCs w:val="26"/>
        </w:rPr>
        <w:softHyphen/>
        <w:t>ного финансового года, должны быть приняты до утверждения местного бюджета на оче</w:t>
      </w:r>
      <w:r>
        <w:rPr>
          <w:color w:val="000000"/>
          <w:sz w:val="26"/>
          <w:szCs w:val="26"/>
        </w:rPr>
        <w:softHyphen/>
        <w:t>редной финансовый год;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- </w:t>
      </w:r>
      <w:r>
        <w:rPr>
          <w:color w:val="000000"/>
          <w:sz w:val="26"/>
          <w:szCs w:val="26"/>
        </w:rPr>
        <w:t xml:space="preserve">внесение изменений и дополнений в правовые акты  Совета  о местных налогах и сборах,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правовой акт о местном бюджете на текущий финансовый год; </w:t>
      </w:r>
    </w:p>
    <w:p w:rsidR="004761F3" w:rsidRDefault="004761F3" w:rsidP="004761F3">
      <w:pPr>
        <w:pStyle w:val="ConsNormal"/>
        <w:widowControl/>
        <w:ind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-  по общему правилу акты законодательства о налогах вступают в силу не ранее чем по ис</w:t>
      </w:r>
      <w:r>
        <w:rPr>
          <w:rFonts w:ascii="Times New Roman" w:hAnsi="Times New Roman"/>
          <w:color w:val="000000"/>
          <w:sz w:val="26"/>
          <w:szCs w:val="26"/>
        </w:rPr>
        <w:softHyphen/>
        <w:t>течении одного месяца со дня их официального опубликования и не ранее   1 -го числа оче</w:t>
      </w:r>
      <w:r>
        <w:rPr>
          <w:rFonts w:ascii="Times New Roman" w:hAnsi="Times New Roman"/>
          <w:color w:val="000000"/>
          <w:sz w:val="26"/>
          <w:szCs w:val="26"/>
        </w:rPr>
        <w:softHyphen/>
        <w:t>редного налогового периода по соответствующему налогу, а акты законодательства о сбо</w:t>
      </w:r>
      <w:r>
        <w:rPr>
          <w:rFonts w:ascii="Times New Roman" w:hAnsi="Times New Roman"/>
          <w:color w:val="000000"/>
          <w:sz w:val="26"/>
          <w:szCs w:val="26"/>
        </w:rPr>
        <w:softHyphen/>
        <w:t>рах - не ранее чем по истечении одного месяца со дня их официального опубликования. Акты Совета, вводящие налоги и (или) сбо</w:t>
      </w:r>
      <w:r>
        <w:rPr>
          <w:rFonts w:ascii="Times New Roman" w:hAnsi="Times New Roman"/>
          <w:color w:val="000000"/>
          <w:sz w:val="26"/>
          <w:szCs w:val="26"/>
        </w:rPr>
        <w:softHyphen/>
        <w:t>ры, вступают в силу не ранее 1 января года, следующего за годом их принятия, но не ранее одного месяца со дня их официального опубликования.</w:t>
      </w:r>
    </w:p>
    <w:p w:rsidR="004761F3" w:rsidRDefault="004761F3" w:rsidP="004761F3">
      <w:pPr>
        <w:pStyle w:val="ConsNormal"/>
        <w:widowControl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  <w:r>
        <w:rPr>
          <w:color w:val="000000"/>
          <w:sz w:val="26"/>
          <w:szCs w:val="26"/>
        </w:rPr>
        <w:t>14.Если для реализации решения, принятого путем прямого волеизъявления населения му</w:t>
      </w:r>
      <w:r>
        <w:rPr>
          <w:color w:val="000000"/>
          <w:sz w:val="26"/>
          <w:szCs w:val="26"/>
        </w:rPr>
        <w:softHyphen/>
        <w:t>ниципального района,  дополнительно требуется принятие (издание) муниципального правового акта, орган местного самоуправления или должностное лицо местного самоуправ</w:t>
      </w:r>
      <w:r>
        <w:rPr>
          <w:color w:val="000000"/>
          <w:sz w:val="26"/>
          <w:szCs w:val="26"/>
        </w:rPr>
        <w:softHyphen/>
        <w:t>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</w:t>
      </w:r>
      <w:r>
        <w:rPr>
          <w:color w:val="000000"/>
          <w:sz w:val="26"/>
          <w:szCs w:val="26"/>
        </w:rPr>
        <w:softHyphen/>
        <w:t>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6"/>
          <w:szCs w:val="26"/>
          <w:lang w:val="be-BY"/>
        </w:rPr>
      </w:pPr>
    </w:p>
    <w:p w:rsidR="004761F3" w:rsidRDefault="004761F3" w:rsidP="004761F3">
      <w:pPr>
        <w:shd w:val="clear" w:color="auto" w:fill="FFFFFF"/>
        <w:autoSpaceDE w:val="0"/>
        <w:autoSpaceDN w:val="0"/>
        <w:adjustRightInd w:val="0"/>
        <w:ind w:firstLine="720"/>
        <w:rPr>
          <w:sz w:val="26"/>
          <w:szCs w:val="26"/>
          <w:lang w:val="be-BY"/>
        </w:rPr>
      </w:pPr>
    </w:p>
    <w:p w:rsidR="004761F3" w:rsidRDefault="004761F3" w:rsidP="004761F3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4761F3" w:rsidRDefault="004761F3" w:rsidP="004761F3"/>
    <w:p w:rsidR="00310E23" w:rsidRDefault="004761F3"/>
    <w:sectPr w:rsidR="00310E23" w:rsidSect="00D3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1F3"/>
    <w:rsid w:val="000A410B"/>
    <w:rsid w:val="003A4A58"/>
    <w:rsid w:val="004761F3"/>
    <w:rsid w:val="00D3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F3"/>
    <w:pPr>
      <w:keepNext/>
      <w:outlineLvl w:val="0"/>
    </w:pPr>
    <w:rPr>
      <w:rFonts w:eastAsia="Arial Unicode MS"/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1F3"/>
    <w:rPr>
      <w:rFonts w:ascii="Times New Roman" w:eastAsia="Arial Unicode MS" w:hAnsi="Times New Roman" w:cs="Times New Roman"/>
      <w:b/>
      <w:sz w:val="28"/>
      <w:szCs w:val="24"/>
      <w:lang w:val="be-BY" w:eastAsia="ru-RU"/>
    </w:rPr>
  </w:style>
  <w:style w:type="character" w:styleId="a3">
    <w:name w:val="Strong"/>
    <w:basedOn w:val="a0"/>
    <w:qFormat/>
    <w:rsid w:val="004761F3"/>
    <w:rPr>
      <w:b/>
      <w:bCs/>
    </w:rPr>
  </w:style>
  <w:style w:type="paragraph" w:customStyle="1" w:styleId="ConsPlusNonformat">
    <w:name w:val="ConsPlusNonformat"/>
    <w:rsid w:val="004761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761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761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lock Text"/>
    <w:basedOn w:val="a"/>
    <w:semiHidden/>
    <w:rsid w:val="004761F3"/>
    <w:pPr>
      <w:ind w:left="709" w:right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2040</Words>
  <Characters>11631</Characters>
  <Application>Microsoft Office Word</Application>
  <DocSecurity>0</DocSecurity>
  <Lines>96</Lines>
  <Paragraphs>27</Paragraphs>
  <ScaleCrop>false</ScaleCrop>
  <Company/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2015-10-24T06:38:00Z</dcterms:created>
  <dcterms:modified xsi:type="dcterms:W3CDTF">2015-10-24T06:38:00Z</dcterms:modified>
</cp:coreProperties>
</file>